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701"/>
          <w:tab w:val="right" w:leader="none" w:pos="9639"/>
        </w:tabs>
        <w:spacing w:after="240" w:before="24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3GPP TSG-RAN WG2 Meeting #129-bis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R2-2502889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br w:type="textWrapping"/>
        <w:t xml:space="preserve">Wuhan, China, 7 – 11 April,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 Item:</w:t>
        <w:tab/>
        <w:t xml:space="preserve">8.7.6 </w:t>
      </w:r>
    </w:p>
    <w:p w:rsidR="00000000" w:rsidDel="00000000" w:rsidP="00000000" w:rsidRDefault="00000000" w:rsidRPr="00000000" w14:paraId="00000003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Source: </w:t>
        <w:tab/>
        <w:t xml:space="preserve">Meta</w:t>
      </w:r>
    </w:p>
    <w:p w:rsidR="00000000" w:rsidDel="00000000" w:rsidP="00000000" w:rsidRDefault="00000000" w:rsidRPr="00000000" w14:paraId="00000004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Title:  </w:t>
        <w:tab/>
        <w:t xml:space="preserve">Discussion on RAN Awareness and UL Rate Control for XR</w:t>
      </w:r>
    </w:p>
    <w:p w:rsidR="00000000" w:rsidDel="00000000" w:rsidP="00000000" w:rsidRDefault="00000000" w:rsidRPr="00000000" w14:paraId="00000005">
      <w:pPr>
        <w:tabs>
          <w:tab w:val="left" w:leader="none" w:pos="1701"/>
          <w:tab w:val="right" w:leader="none" w:pos="9639"/>
        </w:tabs>
        <w:spacing w:after="60" w:line="288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Document for:</w:t>
        <w:tab/>
        <w:t xml:space="preserve">Discussion and Decision</w:t>
      </w:r>
    </w:p>
    <w:p w:rsidR="00000000" w:rsidDel="00000000" w:rsidP="00000000" w:rsidRDefault="00000000" w:rsidRPr="00000000" w14:paraId="00000006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3d3jhtyplydy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Introduction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RAN #107 plenary meeting, the WI objective on RAN awareness and UL rate control was [1]: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50"/>
        <w:tblGridChange w:id="0">
          <w:tblGrid>
            <w:gridCol w:w="935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after="0" w:before="240" w:lineRule="auto"/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Specify uplink congestion signalling [RAN2, RAN3]: </w:t>
            </w:r>
          </w:p>
          <w:p w:rsidR="00000000" w:rsidDel="00000000" w:rsidP="00000000" w:rsidRDefault="00000000" w:rsidRPr="00000000" w14:paraId="0000000A">
            <w:pPr>
              <w:numPr>
                <w:ilvl w:val="1"/>
                <w:numId w:val="1"/>
              </w:numPr>
              <w:spacing w:after="200" w:before="240" w:lineRule="auto"/>
              <w:ind w:left="1440" w:hanging="36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Specify in MAC layer XR rate control signalling over downlink per QoS flow/per DRB and the associated F1 signalling, if any, to enable faster source rate adaption to uplink congestion.</w:t>
            </w:r>
          </w:p>
        </w:tc>
      </w:tr>
    </w:tbl>
    <w:p w:rsidR="00000000" w:rsidDel="00000000" w:rsidP="00000000" w:rsidRDefault="00000000" w:rsidRPr="00000000" w14:paraId="0000000B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IIn this paper, we discuss our views on XR UL rate control. </w:t>
      </w:r>
    </w:p>
    <w:p w:rsidR="00000000" w:rsidDel="00000000" w:rsidP="00000000" w:rsidRDefault="00000000" w:rsidRPr="00000000" w14:paraId="0000000D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1aw50ydmgwr9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During the RAN2#128 meeting, the following two options are considered for per QoS flow lever indication via MAC CE: 1) flows are indicated by MAC CE or 2) by RRC while MAC CE is per DRB.</w:t>
      </w:r>
    </w:p>
    <w:p w:rsidR="00000000" w:rsidDel="00000000" w:rsidP="00000000" w:rsidRDefault="00000000" w:rsidRPr="00000000" w14:paraId="0000000F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During the RAN3#127 meeting, the F1AP interface impact for CU-DU split case was discussed and it was concluded that both options have F1AP impact [14]. </w:t>
      </w:r>
    </w:p>
    <w:p w:rsidR="00000000" w:rsidDel="00000000" w:rsidP="00000000" w:rsidRDefault="00000000" w:rsidRPr="00000000" w14:paraId="00000011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With Option 1, the QoS to DRB mapping information needs to be sent from CU to DU. DU then derives the recommended bit rate on a per-QoS flow level based on the network congestion conditions. </w:t>
      </w:r>
    </w:p>
    <w:p w:rsidR="00000000" w:rsidDel="00000000" w:rsidP="00000000" w:rsidRDefault="00000000" w:rsidRPr="00000000" w14:paraId="00000013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With Option 2, the QoS flow to DRB mapping information is configured via RRC by the CU. In order to derive the recommended bit rate on a per-QoS flow level, CU also needs to send the QoS flow to DRB mapping information to DU.  </w:t>
      </w:r>
    </w:p>
    <w:p w:rsidR="00000000" w:rsidDel="00000000" w:rsidP="00000000" w:rsidRDefault="00000000" w:rsidRPr="00000000" w14:paraId="00000015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Since both options have F1AP impact and that Option 1 is a simpler and cleaner solution, it is proposed to downselect Option 1. </w:t>
      </w:r>
    </w:p>
    <w:p w:rsidR="00000000" w:rsidDel="00000000" w:rsidP="00000000" w:rsidRDefault="00000000" w:rsidRPr="00000000" w14:paraId="00000017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Down-select Option1, e.g., support per-QoS flow level rate indication via MAC CE. </w:t>
      </w:r>
    </w:p>
    <w:p w:rsidR="00000000" w:rsidDel="00000000" w:rsidP="00000000" w:rsidRDefault="00000000" w:rsidRPr="00000000" w14:paraId="00000019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xwvak43gl3pm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Conclusion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this paper, we discuss our views on XR UL rate control. 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center" w:leader="none" w:pos="4536"/>
          <w:tab w:val="right" w:leader="none" w:pos="9072"/>
          <w:tab w:val="left" w:leader="none" w:pos="1800"/>
        </w:tabs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Proposal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Down-select Option1, e.g., support per-QoS flow level rate indication via MAC CE. </w:t>
      </w:r>
    </w:p>
    <w:p w:rsidR="00000000" w:rsidDel="00000000" w:rsidP="00000000" w:rsidRDefault="00000000" w:rsidRPr="00000000" w14:paraId="0000001F">
      <w:pPr>
        <w:pStyle w:val="Heading1"/>
        <w:numPr>
          <w:ilvl w:val="0"/>
          <w:numId w:val="2"/>
        </w:numPr>
        <w:pBdr>
          <w:top w:color="000000" w:space="3" w:sz="12" w:val="single"/>
        </w:pBdr>
        <w:spacing w:after="180" w:before="240" w:line="240" w:lineRule="auto"/>
        <w:ind w:left="432" w:hanging="43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References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[1] RP-240107, Revised WID on XR (eXtended Reality) for NR Phase 3</w:t>
      </w:r>
    </w:p>
    <w:p w:rsidR="00000000" w:rsidDel="00000000" w:rsidP="00000000" w:rsidRDefault="00000000" w:rsidRPr="00000000" w14:paraId="00000021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[2] RP-234013, Moderator's summary on new WI XR (eXtended Reality) for NR Phase 3, MediaTek (Moderator)</w:t>
      </w:r>
    </w:p>
    <w:p w:rsidR="00000000" w:rsidDel="00000000" w:rsidP="00000000" w:rsidRDefault="00000000" w:rsidRPr="00000000" w14:paraId="00000022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[3] RP-233317, Meta’s Views on Rel-19 XR Evolution, Meta</w:t>
      </w:r>
    </w:p>
    <w:p w:rsidR="00000000" w:rsidDel="00000000" w:rsidP="00000000" w:rsidRDefault="00000000" w:rsidRPr="00000000" w14:paraId="00000023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[4] R2-2213226, Reply LS to SA2 on XR, vivo, Huawei</w:t>
      </w:r>
    </w:p>
    <w:p w:rsidR="00000000" w:rsidDel="00000000" w:rsidP="00000000" w:rsidRDefault="00000000" w:rsidRPr="00000000" w14:paraId="00000024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[5] TR 23.700-70, Study on architecture enhancement for Extended Reality and Media service (XRM); Phase 2</w:t>
      </w:r>
    </w:p>
    <w:p w:rsidR="00000000" w:rsidDel="00000000" w:rsidP="00000000" w:rsidRDefault="00000000" w:rsidRPr="00000000" w14:paraId="00000025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[6] SP-231198, New SID on 5GS XRM Ph2</w:t>
      </w:r>
    </w:p>
    <w:p w:rsidR="00000000" w:rsidDel="00000000" w:rsidP="00000000" w:rsidRDefault="00000000" w:rsidRPr="00000000" w14:paraId="00000026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[7] RP-240647, Discussion on Rel-19 XR WID, Meta, CATT, CMCC, Google, vivo, ZTE Corporation, Sanechips</w:t>
      </w:r>
    </w:p>
    <w:p w:rsidR="00000000" w:rsidDel="00000000" w:rsidP="00000000" w:rsidRDefault="00000000" w:rsidRPr="00000000" w14:paraId="00000027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[8] RP-241540, Discussion on Rel-19 XR WID, Meta, CATT, CMCC, Google, vivo, ZTE Corporation, Sanechips, Huawei, HiSilicon, Spreadtrum, Samsung, Apple, MediaTek</w:t>
      </w:r>
    </w:p>
    <w:p w:rsidR="00000000" w:rsidDel="00000000" w:rsidP="00000000" w:rsidRDefault="00000000" w:rsidRPr="00000000" w14:paraId="00000028">
      <w:pPr>
        <w:widowControl w:val="0"/>
        <w:spacing w:line="312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[9] RP-241651, Outcome from the XR discussion for NR Phase 3 WI scope, Nokia</w:t>
      </w:r>
    </w:p>
    <w:p w:rsidR="00000000" w:rsidDel="00000000" w:rsidP="00000000" w:rsidRDefault="00000000" w:rsidRPr="00000000" w14:paraId="00000029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[10] RP-242224, “On RAN Awareness and UL Rate Control for XR”, Meta, CATT, CMCC, Google, vivo, ZTE Corporation, Sanechips, Huawei, HiSilicon, Spreadtrum, Samsung, Apple, MediaTek Inc., Futurewei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[11] TS 38.321, “Medium Access Control (MAC) protocol specification”</w:t>
      </w:r>
    </w:p>
    <w:p w:rsidR="00000000" w:rsidDel="00000000" w:rsidP="00000000" w:rsidRDefault="00000000" w:rsidRPr="00000000" w14:paraId="0000002B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[12] RP-243305, “Release 19 XR enhancements -Way forward on WID scope revision”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[13] S4-242182 “Reply to LS on appropriate range and granularity of bit rate adaptation for XR applications.”</w:t>
      </w:r>
    </w:p>
    <w:p w:rsidR="00000000" w:rsidDel="00000000" w:rsidP="00000000" w:rsidRDefault="00000000" w:rsidRPr="00000000" w14:paraId="0000002D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[14] R3-250805, Reply LS on XR UL Rate Control</w:t>
      </w:r>
    </w:p>
    <w:p w:rsidR="00000000" w:rsidDel="00000000" w:rsidP="00000000" w:rsidRDefault="00000000" w:rsidRPr="00000000" w14:paraId="0000002E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"/>
      <w:lvlJc w:val="left"/>
      <w:pPr>
        <w:ind w:left="432" w:hanging="432"/>
      </w:pPr>
      <w:rPr>
        <w:b w:val="1"/>
      </w:rPr>
    </w:lvl>
    <w:lvl w:ilvl="1">
      <w:start w:val="1"/>
      <w:numFmt w:val="decimal"/>
      <w:lvlText w:val="%1.%2"/>
      <w:lvlJc w:val="left"/>
      <w:pPr>
        <w:ind w:left="763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